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4"/>
        </w:rPr>
      </w:pPr>
      <w:bookmarkStart w:id="0" w:name="_GoBack"/>
      <w:bookmarkEnd w:id="0"/>
      <w:r>
        <w:rPr>
          <w:rFonts w:hint="eastAsia"/>
          <w:sz w:val="24"/>
        </w:rPr>
        <w:t>様式（第４条関係）</w:t>
      </w:r>
    </w:p>
    <w:p>
      <w:pPr>
        <w:pStyle w:val="0"/>
        <w:jc w:val="left"/>
        <w:rPr>
          <w:rFonts w:hint="default"/>
          <w:sz w:val="24"/>
        </w:rPr>
      </w:pPr>
    </w:p>
    <w:p>
      <w:pPr>
        <w:pStyle w:val="0"/>
        <w:jc w:val="center"/>
        <w:rPr>
          <w:rFonts w:hint="default"/>
          <w:sz w:val="24"/>
        </w:rPr>
      </w:pPr>
      <w:r>
        <w:rPr>
          <w:rFonts w:hint="eastAsia"/>
          <w:sz w:val="24"/>
        </w:rPr>
        <w:t>誓　　約　　書</w:t>
      </w:r>
    </w:p>
    <w:p>
      <w:pPr>
        <w:pStyle w:val="0"/>
        <w:rPr>
          <w:rFonts w:hint="default"/>
          <w:sz w:val="24"/>
        </w:rPr>
      </w:pPr>
    </w:p>
    <w:p>
      <w:pPr>
        <w:pStyle w:val="0"/>
        <w:ind w:firstLine="720" w:firstLineChars="300"/>
        <w:jc w:val="right"/>
        <w:rPr>
          <w:rFonts w:hint="default"/>
          <w:sz w:val="24"/>
        </w:rPr>
      </w:pPr>
      <w:r>
        <w:rPr>
          <w:rFonts w:hint="eastAsia"/>
          <w:sz w:val="24"/>
        </w:rPr>
        <w:t>　　年　　月　　日</w:t>
      </w:r>
    </w:p>
    <w:p>
      <w:pPr>
        <w:pStyle w:val="0"/>
        <w:rPr>
          <w:rFonts w:hint="default"/>
          <w:sz w:val="24"/>
        </w:rPr>
      </w:pPr>
    </w:p>
    <w:p>
      <w:pPr>
        <w:pStyle w:val="0"/>
        <w:rPr>
          <w:rFonts w:hint="default"/>
          <w:sz w:val="24"/>
        </w:rPr>
      </w:pPr>
      <w:r>
        <w:rPr>
          <w:rFonts w:hint="eastAsia"/>
          <w:sz w:val="24"/>
        </w:rPr>
        <w:t>大牟田市長　様</w:t>
      </w:r>
    </w:p>
    <w:p>
      <w:pPr>
        <w:pStyle w:val="0"/>
        <w:rPr>
          <w:rFonts w:hint="default"/>
          <w:sz w:val="24"/>
        </w:rPr>
      </w:pPr>
      <w:r>
        <w:rPr>
          <w:rFonts w:hint="eastAsia"/>
          <w:sz w:val="24"/>
        </w:rPr>
        <w:t>（　広報課　）</w:t>
      </w:r>
    </w:p>
    <w:p>
      <w:pPr>
        <w:pStyle w:val="0"/>
        <w:jc w:val="center"/>
        <w:rPr>
          <w:rFonts w:hint="default"/>
          <w:sz w:val="24"/>
        </w:rPr>
      </w:pPr>
    </w:p>
    <w:p>
      <w:pPr>
        <w:pStyle w:val="0"/>
        <w:spacing w:line="480" w:lineRule="auto"/>
        <w:ind w:firstLine="2160" w:firstLineChars="1200"/>
        <w:rPr>
          <w:rFonts w:hint="default" w:ascii="ＭＳ 明朝" w:hAnsi="ＭＳ 明朝"/>
          <w:kern w:val="0"/>
          <w:sz w:val="22"/>
        </w:rPr>
      </w:pPr>
      <w:r>
        <w:rPr>
          <w:rFonts w:hint="eastAsia" w:ascii="ＭＳ 明朝" w:hAnsi="ＭＳ 明朝"/>
          <w:sz w:val="18"/>
        </w:rPr>
        <w:t>（届出者）　　　</w:t>
      </w:r>
      <w:r>
        <w:rPr>
          <w:rFonts w:hint="eastAsia" w:ascii="ＭＳ 明朝" w:hAnsi="ＭＳ 明朝"/>
          <w:spacing w:val="495"/>
          <w:kern w:val="0"/>
          <w:sz w:val="22"/>
          <w:fitText w:val="1430" w:id="1"/>
        </w:rPr>
        <w:t>住</w:t>
      </w:r>
      <w:r>
        <w:rPr>
          <w:rFonts w:hint="eastAsia" w:ascii="ＭＳ 明朝" w:hAnsi="ＭＳ 明朝"/>
          <w:kern w:val="0"/>
          <w:sz w:val="22"/>
          <w:fitText w:val="1430" w:id="1"/>
        </w:rPr>
        <w:t>所</w:t>
      </w:r>
      <w:r>
        <w:rPr>
          <w:rFonts w:hint="eastAsia" w:ascii="ＭＳ 明朝" w:hAnsi="ＭＳ 明朝"/>
          <w:sz w:val="22"/>
        </w:rPr>
        <w:t>　　</w:t>
      </w:r>
    </w:p>
    <w:p>
      <w:pPr>
        <w:pStyle w:val="0"/>
        <w:spacing w:line="480" w:lineRule="auto"/>
        <w:ind w:firstLine="3543" w:firstLineChars="1384"/>
        <w:rPr>
          <w:rFonts w:hint="default" w:ascii="ＭＳ 明朝" w:hAnsi="ＭＳ 明朝"/>
          <w:spacing w:val="10"/>
          <w:kern w:val="0"/>
          <w:sz w:val="22"/>
        </w:rPr>
      </w:pPr>
      <w:r>
        <w:rPr>
          <w:rFonts w:hint="eastAsia" w:ascii="ＭＳ 明朝" w:hAnsi="ＭＳ 明朝"/>
          <w:spacing w:val="11"/>
          <w:kern w:val="0"/>
          <w:sz w:val="22"/>
          <w:fitText w:val="1430" w:id="2"/>
        </w:rPr>
        <w:t>法人</w:t>
      </w:r>
      <w:r>
        <w:rPr>
          <w:rFonts w:hint="eastAsia" w:ascii="ＭＳ 明朝" w:hAnsi="ＭＳ 明朝"/>
          <w:spacing w:val="11"/>
          <w:kern w:val="0"/>
          <w:sz w:val="22"/>
          <w:fitText w:val="1430" w:id="2"/>
        </w:rPr>
        <w:t>(</w:t>
      </w:r>
      <w:r>
        <w:rPr>
          <w:rFonts w:hint="eastAsia" w:ascii="ＭＳ 明朝" w:hAnsi="ＭＳ 明朝"/>
          <w:spacing w:val="11"/>
          <w:kern w:val="0"/>
          <w:sz w:val="22"/>
          <w:fitText w:val="1430" w:id="2"/>
        </w:rPr>
        <w:t>団体</w:t>
      </w:r>
      <w:r>
        <w:rPr>
          <w:rFonts w:hint="eastAsia" w:ascii="ＭＳ 明朝" w:hAnsi="ＭＳ 明朝"/>
          <w:spacing w:val="11"/>
          <w:kern w:val="0"/>
          <w:sz w:val="22"/>
          <w:fitText w:val="1430" w:id="2"/>
        </w:rPr>
        <w:t>)</w:t>
      </w:r>
      <w:r>
        <w:rPr>
          <w:rFonts w:hint="eastAsia" w:ascii="ＭＳ 明朝" w:hAnsi="ＭＳ 明朝"/>
          <w:spacing w:val="-34"/>
          <w:kern w:val="0"/>
          <w:sz w:val="22"/>
          <w:fitText w:val="1430" w:id="2"/>
        </w:rPr>
        <w:t>名</w:t>
      </w:r>
      <w:r>
        <w:rPr>
          <w:rFonts w:hint="eastAsia" w:ascii="ＭＳ 明朝" w:hAnsi="ＭＳ 明朝"/>
          <w:sz w:val="22"/>
        </w:rPr>
        <w:t>　　</w:t>
      </w:r>
    </w:p>
    <w:p>
      <w:pPr>
        <w:pStyle w:val="0"/>
        <w:spacing w:line="480" w:lineRule="auto"/>
        <w:ind w:firstLine="3624" w:firstLineChars="600"/>
        <w:rPr>
          <w:rFonts w:hint="default"/>
          <w:sz w:val="24"/>
        </w:rPr>
      </w:pPr>
      <w:r>
        <w:rPr>
          <w:rFonts w:hint="eastAsia" w:ascii="ＭＳ 明朝" w:hAnsi="ＭＳ 明朝"/>
          <w:spacing w:val="192"/>
          <w:kern w:val="0"/>
          <w:sz w:val="22"/>
          <w:fitText w:val="1430" w:id="3"/>
        </w:rPr>
        <w:t>代表</w:t>
      </w:r>
      <w:r>
        <w:rPr>
          <w:rFonts w:hint="eastAsia" w:ascii="ＭＳ 明朝" w:hAnsi="ＭＳ 明朝"/>
          <w:spacing w:val="1"/>
          <w:kern w:val="0"/>
          <w:sz w:val="22"/>
          <w:fitText w:val="1430" w:id="3"/>
        </w:rPr>
        <w:t>者</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ind w:firstLine="240" w:firstLineChars="100"/>
        <w:rPr>
          <w:rFonts w:hint="default"/>
          <w:sz w:val="24"/>
        </w:rPr>
      </w:pPr>
      <w:r>
        <w:rPr>
          <w:rFonts w:hint="eastAsia"/>
          <w:sz w:val="24"/>
        </w:rPr>
        <w:t>私は、大牟田市ふるさと納税返礼品取扱事業者としての登録を受けた際には、返礼品に係る業務について、継続的かつ適正に履行します。</w:t>
      </w:r>
    </w:p>
    <w:p>
      <w:pPr>
        <w:pStyle w:val="0"/>
        <w:ind w:firstLine="240" w:firstLineChars="100"/>
        <w:rPr>
          <w:rFonts w:hint="default"/>
          <w:sz w:val="24"/>
        </w:rPr>
      </w:pPr>
      <w:r>
        <w:rPr>
          <w:rFonts w:hint="eastAsia"/>
          <w:sz w:val="24"/>
        </w:rPr>
        <w:t>また、大牟田市が大牟田市暴力団排除条例に基づき、市の事務又は事業により暴力団を利することがないように、暴力団員はもとより、暴力団若しくは暴力団員と密接な関係を有する者を入札、契約から排除していることを認識したうえで、裏面の記載事項について説明を受け、これを了解し、下記事項について誓約いたします。</w:t>
      </w:r>
    </w:p>
    <w:p>
      <w:pPr>
        <w:pStyle w:val="0"/>
        <w:ind w:firstLine="240" w:firstLineChars="100"/>
        <w:rPr>
          <w:rFonts w:hint="default"/>
          <w:sz w:val="24"/>
        </w:rPr>
      </w:pPr>
      <w:r>
        <w:rPr>
          <w:rFonts w:hint="eastAsia"/>
          <w:sz w:val="24"/>
        </w:rPr>
        <w:t>なお、これらの事項に反する場合、契約の解除等、貴市が行う一切の措置について異議の申し立てを行いません。</w:t>
      </w:r>
    </w:p>
    <w:p>
      <w:pPr>
        <w:pStyle w:val="16"/>
        <w:rPr>
          <w:rFonts w:hint="default"/>
        </w:rPr>
      </w:pPr>
    </w:p>
    <w:p>
      <w:pPr>
        <w:pStyle w:val="15"/>
        <w:rPr>
          <w:rFonts w:hint="default"/>
          <w:sz w:val="24"/>
        </w:rPr>
      </w:pPr>
      <w:r>
        <w:rPr>
          <w:rFonts w:hint="eastAsia"/>
          <w:sz w:val="24"/>
        </w:rPr>
        <w:t>記</w:t>
      </w:r>
    </w:p>
    <w:p>
      <w:pPr>
        <w:pStyle w:val="0"/>
        <w:rPr>
          <w:rFonts w:hint="default"/>
          <w:sz w:val="24"/>
        </w:rPr>
      </w:pPr>
    </w:p>
    <w:p>
      <w:pPr>
        <w:pStyle w:val="0"/>
        <w:rPr>
          <w:rFonts w:hint="default"/>
          <w:sz w:val="24"/>
        </w:rPr>
      </w:pPr>
    </w:p>
    <w:p>
      <w:pPr>
        <w:pStyle w:val="0"/>
        <w:ind w:left="240" w:leftChars="1" w:hanging="238" w:hangingChars="99"/>
        <w:rPr>
          <w:rFonts w:hint="default"/>
          <w:sz w:val="24"/>
        </w:rPr>
      </w:pPr>
      <w:r>
        <w:rPr>
          <w:rFonts w:hint="eastAsia"/>
          <w:sz w:val="24"/>
        </w:rPr>
        <w:t>１　大牟田市ふるさと納税返礼品及び返礼品取扱事業者の登録に関する要綱第３条第１項各号（第８号から第１３号（以下「暴力団排除条項」という。））のいずれにも該当します。</w:t>
      </w:r>
    </w:p>
    <w:p>
      <w:pPr>
        <w:pStyle w:val="0"/>
        <w:ind w:left="240" w:leftChars="1" w:hanging="238" w:hangingChars="99"/>
        <w:rPr>
          <w:rFonts w:hint="default"/>
          <w:sz w:val="24"/>
        </w:rPr>
      </w:pPr>
    </w:p>
    <w:p>
      <w:pPr>
        <w:pStyle w:val="0"/>
        <w:ind w:left="240" w:leftChars="1" w:hanging="238" w:hangingChars="99"/>
        <w:rPr>
          <w:rFonts w:hint="default"/>
          <w:sz w:val="24"/>
        </w:rPr>
      </w:pPr>
    </w:p>
    <w:p>
      <w:pPr>
        <w:pStyle w:val="0"/>
        <w:ind w:left="240" w:leftChars="1" w:hanging="238" w:hangingChars="99"/>
        <w:rPr>
          <w:rFonts w:hint="default"/>
          <w:sz w:val="24"/>
        </w:rPr>
      </w:pPr>
      <w:r>
        <w:rPr>
          <w:rFonts w:hint="eastAsia"/>
          <w:sz w:val="24"/>
        </w:rPr>
        <w:t>２　暴力団排除条項第１項第８号又は第９号に該当する事由の有無を警察に照会するため、役員名簿等の提出を求められたときは、速やかに提出します。</w:t>
      </w:r>
    </w:p>
    <w:p>
      <w:pPr>
        <w:pStyle w:val="0"/>
        <w:rPr>
          <w:rFonts w:hint="default"/>
        </w:rPr>
      </w:pPr>
    </w:p>
    <w:p>
      <w:pPr>
        <w:pStyle w:val="0"/>
        <w:rPr>
          <w:rFonts w:hint="default"/>
        </w:rPr>
      </w:pPr>
    </w:p>
    <w:p>
      <w:pPr>
        <w:pStyle w:val="0"/>
        <w:rPr>
          <w:rFonts w:hint="default"/>
        </w:rPr>
      </w:pPr>
      <w:r>
        <w:rPr>
          <w:rFonts w:hint="eastAsia"/>
        </w:rPr>
        <w:t>　　　　　　　　　　　　　　　　　　　　　　　　　　　　　　　　　　　　　　　</w:t>
      </w:r>
    </w:p>
    <w:p>
      <w:pPr>
        <w:pStyle w:val="0"/>
        <w:rPr>
          <w:rFonts w:hint="default"/>
          <w:sz w:val="22"/>
        </w:rPr>
      </w:pPr>
      <w:r>
        <w:rPr>
          <w:rFonts w:hint="eastAsia"/>
          <w:sz w:val="22"/>
        </w:rPr>
        <w:t>※上記１の暴力団排除条項第１項各号の解釈については、裏面にてご確認ください。</w:t>
      </w:r>
    </w:p>
    <w:p>
      <w:pPr>
        <w:pStyle w:val="0"/>
        <w:rPr>
          <w:rFonts w:hint="default"/>
          <w:sz w:val="22"/>
        </w:rPr>
      </w:pPr>
      <w:r>
        <w:rPr>
          <w:rFonts w:hint="eastAsia"/>
          <w:sz w:val="22"/>
        </w:rPr>
        <w:t>※既に返礼品取扱事業者又は大牟田市ＰＲ事業者として登録されている場合は不要</w:t>
      </w:r>
    </w:p>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76200</wp:posOffset>
                </wp:positionH>
                <wp:positionV relativeFrom="paragraph">
                  <wp:posOffset>0</wp:posOffset>
                </wp:positionV>
                <wp:extent cx="5790565" cy="3067050"/>
                <wp:effectExtent l="635" t="635" r="29845" b="10795"/>
                <wp:wrapNone/>
                <wp:docPr id="1026" name="Text Box 5"/>
                <a:graphic xmlns:a="http://schemas.openxmlformats.org/drawingml/2006/main">
                  <a:graphicData uri="http://schemas.microsoft.com/office/word/2010/wordprocessingShape">
                    <wps:wsp>
                      <wps:cNvPr id="1026" name="Text Box 5"/>
                      <wps:cNvSpPr txBox="1">
                        <a:spLocks noChangeArrowheads="1"/>
                      </wps:cNvSpPr>
                      <wps:spPr>
                        <a:xfrm>
                          <a:off x="0" y="0"/>
                          <a:ext cx="5790565" cy="3067050"/>
                        </a:xfrm>
                        <a:prstGeom prst="rect">
                          <a:avLst/>
                        </a:prstGeom>
                        <a:solidFill>
                          <a:srgbClr val="FFFFFF"/>
                        </a:solidFill>
                        <a:ln w="9525">
                          <a:solidFill>
                            <a:srgbClr val="000000"/>
                          </a:solidFill>
                          <a:miter lim="800000"/>
                          <a:headEnd/>
                          <a:tailEnd/>
                        </a:ln>
                      </wps:spPr>
                      <wps:txbx>
                        <w:txbxContent>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暴力団排除条項第１項各号の解釈について</w:t>
                            </w:r>
                          </w:p>
                          <w:p>
                            <w:pPr>
                              <w:pStyle w:val="0"/>
                              <w:rPr>
                                <w:rFonts w:hint="default"/>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（１）暴力団排除条項第１項第１０号及び第１１号関係</w:t>
                            </w:r>
                          </w:p>
                          <w:p>
                            <w:pPr>
                              <w:pStyle w:val="0"/>
                              <w:ind w:left="480" w:hanging="480" w:hangingChars="218"/>
                              <w:rPr>
                                <w:rFonts w:hint="default"/>
                                <w:sz w:val="22"/>
                              </w:rPr>
                            </w:pPr>
                            <w:r>
                              <w:rPr>
                                <w:rFonts w:hint="eastAsia"/>
                                <w:sz w:val="22"/>
                              </w:rPr>
                              <w:t>　　　暴力団員である事実を知らずに、暴力団員を雇用している場合又は暴力的組織若しくは暴力団員である事実を知らず、その者と下請契約若しくは資材、原材料の購入契約等を締結した場合であっても、当該事実の判明後速やかに、解雇に係る手続や契約の解除など適切な是正措置を行わないときは、当該事実を知りながら行っているものとみなす。</w:t>
                            </w:r>
                          </w:p>
                          <w:p>
                            <w:pPr>
                              <w:pStyle w:val="0"/>
                              <w:rPr>
                                <w:rFonts w:hint="default"/>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（２）暴力団排除条項第１項第１３号関係</w:t>
                            </w:r>
                          </w:p>
                          <w:p>
                            <w:pPr>
                              <w:pStyle w:val="0"/>
                              <w:rPr>
                                <w:rFonts w:hint="default"/>
                                <w:sz w:val="22"/>
                              </w:rPr>
                            </w:pPr>
                            <w:r>
                              <w:rPr>
                                <w:rFonts w:hint="eastAsia"/>
                                <w:sz w:val="22"/>
                              </w:rPr>
                              <w:t>　　　「社会的に非難される関係」とは、例えば暴力団員を自らが主催するパーティその</w:t>
                            </w:r>
                          </w:p>
                          <w:p>
                            <w:pPr>
                              <w:pStyle w:val="0"/>
                              <w:ind w:firstLine="440" w:firstLineChars="200"/>
                              <w:rPr>
                                <w:rFonts w:hint="default"/>
                                <w:sz w:val="22"/>
                              </w:rPr>
                            </w:pPr>
                            <w:r>
                              <w:rPr>
                                <w:rFonts w:hint="eastAsia"/>
                                <w:sz w:val="22"/>
                              </w:rPr>
                              <w:t>他の会合に招待するような関係又は暴力団員が主催するパーティその他の会合に出席</w:t>
                            </w:r>
                          </w:p>
                          <w:p>
                            <w:pPr>
                              <w:pStyle w:val="0"/>
                              <w:ind w:firstLine="440" w:firstLineChars="200"/>
                              <w:rPr>
                                <w:rFonts w:hint="default"/>
                                <w:sz w:val="22"/>
                              </w:rPr>
                            </w:pPr>
                            <w:r>
                              <w:rPr>
                                <w:rFonts w:hint="eastAsia"/>
                                <w:sz w:val="22"/>
                              </w:rPr>
                              <w:t>するような関係である。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0pt;mso-position-vertical-relative:text;mso-position-horizontal-relative:text;v-text-anchor:top;position:absolute;height:241.5pt;mso-wrap-distance-top:0pt;width:455.95pt;mso-wrap-distance-left:9pt;margin-left:6pt;z-index:2;" o:spid="_x0000_s1026"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暴力団排除条項第１項各号の解釈について</w:t>
                      </w:r>
                    </w:p>
                    <w:p>
                      <w:pPr>
                        <w:pStyle w:val="0"/>
                        <w:rPr>
                          <w:rFonts w:hint="default"/>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（１）暴力団排除条項第１項第１０号及び第１１号関係</w:t>
                      </w:r>
                    </w:p>
                    <w:p>
                      <w:pPr>
                        <w:pStyle w:val="0"/>
                        <w:ind w:left="480" w:hanging="480" w:hangingChars="218"/>
                        <w:rPr>
                          <w:rFonts w:hint="default"/>
                          <w:sz w:val="22"/>
                        </w:rPr>
                      </w:pPr>
                      <w:r>
                        <w:rPr>
                          <w:rFonts w:hint="eastAsia"/>
                          <w:sz w:val="22"/>
                        </w:rPr>
                        <w:t>　　　暴力団員である事実を知らずに、暴力団員を雇用している場合又は暴力的組織若しくは暴力団員である事実を知らず、その者と下請契約若しくは資材、原材料の購入契約等を締結した場合であっても、当該事実の判明後速やかに、解雇に係る手続や契約の解除など適切な是正措置を行わないときは、当該事実を知りながら行っているものとみなす。</w:t>
                      </w:r>
                    </w:p>
                    <w:p>
                      <w:pPr>
                        <w:pStyle w:val="0"/>
                        <w:rPr>
                          <w:rFonts w:hint="default"/>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（２）暴力団排除条項第１項第１３号関係</w:t>
                      </w:r>
                    </w:p>
                    <w:p>
                      <w:pPr>
                        <w:pStyle w:val="0"/>
                        <w:rPr>
                          <w:rFonts w:hint="default"/>
                          <w:sz w:val="22"/>
                        </w:rPr>
                      </w:pPr>
                      <w:r>
                        <w:rPr>
                          <w:rFonts w:hint="eastAsia"/>
                          <w:sz w:val="22"/>
                        </w:rPr>
                        <w:t>　　　「社会的に非難される関係」とは、例えば暴力団員を自らが主催するパーティその</w:t>
                      </w:r>
                    </w:p>
                    <w:p>
                      <w:pPr>
                        <w:pStyle w:val="0"/>
                        <w:ind w:firstLine="440" w:firstLineChars="200"/>
                        <w:rPr>
                          <w:rFonts w:hint="default"/>
                          <w:sz w:val="22"/>
                        </w:rPr>
                      </w:pPr>
                      <w:r>
                        <w:rPr>
                          <w:rFonts w:hint="eastAsia"/>
                          <w:sz w:val="22"/>
                        </w:rPr>
                        <w:t>他の会合に招待するような関係又は暴力団員が主催するパーティその他の会合に出席</w:t>
                      </w:r>
                    </w:p>
                    <w:p>
                      <w:pPr>
                        <w:pStyle w:val="0"/>
                        <w:ind w:firstLine="440" w:firstLineChars="200"/>
                        <w:rPr>
                          <w:rFonts w:hint="default"/>
                          <w:sz w:val="22"/>
                        </w:rPr>
                      </w:pPr>
                      <w:r>
                        <w:rPr>
                          <w:rFonts w:hint="eastAsia"/>
                          <w:sz w:val="22"/>
                        </w:rPr>
                        <w:t>するような関係である。</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ascii="ＭＳ Ｐゴシック" w:hAnsi="ＭＳ Ｐゴシック" w:eastAsia="ＭＳ Ｐゴシック"/>
          <w:b w:val="1"/>
          <w:sz w:val="22"/>
        </w:rPr>
      </w:pPr>
      <w:r>
        <w:rPr>
          <w:rFonts w:hint="eastAsia" w:ascii="ＭＳ Ｐゴシック" w:hAnsi="ＭＳ Ｐゴシック" w:eastAsia="ＭＳ Ｐゴシック"/>
          <w:b w:val="1"/>
          <w:sz w:val="22"/>
        </w:rPr>
        <w:t>〈大牟田市ふるさと納税返礼品及び返礼品取扱事業者の登録に関する要綱抜粋（暴力団排除条項）〉</w:t>
      </w:r>
    </w:p>
    <w:p>
      <w:pPr>
        <w:pStyle w:val="0"/>
        <w:ind w:left="276" w:hanging="276"/>
        <w:rPr>
          <w:rFonts w:hint="default"/>
        </w:rPr>
      </w:pPr>
    </w:p>
    <w:p>
      <w:pPr>
        <w:pStyle w:val="0"/>
        <w:rPr>
          <w:rFonts w:hint="default" w:asciiTheme="minorEastAsia" w:hAnsiTheme="minorEastAsia" w:eastAsiaTheme="minorEastAsia"/>
        </w:rPr>
      </w:pPr>
      <w:r>
        <w:rPr>
          <w:rFonts w:hint="eastAsia" w:asciiTheme="minorEastAsia" w:hAnsiTheme="minorEastAsia" w:eastAsiaTheme="minorEastAsia"/>
        </w:rPr>
        <w:t>第３条第１項（第１号から第７号省略）</w:t>
      </w:r>
    </w:p>
    <w:p>
      <w:pPr>
        <w:pStyle w:val="0"/>
        <w:ind w:left="420" w:hanging="420" w:hangingChars="200"/>
        <w:rPr>
          <w:rFonts w:hint="default" w:asciiTheme="minorEastAsia" w:hAnsiTheme="minorEastAsia" w:eastAsiaTheme="minorEastAsia"/>
        </w:rPr>
      </w:pPr>
      <w:r>
        <w:rPr>
          <w:rFonts w:hint="eastAsia" w:asciiTheme="minorEastAsia" w:hAnsiTheme="minorEastAsia" w:eastAsiaTheme="minorEastAsia"/>
        </w:rPr>
        <w:t>（８）暴力団員（暴力団員による不当な行為の防止等に関する法律（平成３年法律第７７号。以下「法」という。）第２条第６号に規定する暴力団員をいう。以下同じ。）が事業主又は役員に就任していないこと。</w:t>
      </w:r>
    </w:p>
    <w:p>
      <w:pPr>
        <w:pStyle w:val="0"/>
        <w:rPr>
          <w:rFonts w:hint="default" w:asciiTheme="minorEastAsia" w:hAnsiTheme="minorEastAsia" w:eastAsiaTheme="minorEastAsia"/>
        </w:rPr>
      </w:pPr>
      <w:r>
        <w:rPr>
          <w:rFonts w:hint="eastAsia" w:asciiTheme="minorEastAsia" w:hAnsiTheme="minorEastAsia" w:eastAsiaTheme="minorEastAsia"/>
        </w:rPr>
        <w:t>（９）暴力団が実質的に運営している者でないこと。</w:t>
      </w:r>
    </w:p>
    <w:p>
      <w:pPr>
        <w:pStyle w:val="0"/>
        <w:rPr>
          <w:rFonts w:hint="default" w:asciiTheme="minorEastAsia" w:hAnsiTheme="minorEastAsia" w:eastAsiaTheme="minorEastAsia"/>
        </w:rPr>
      </w:pPr>
      <w:r>
        <w:rPr>
          <w:rFonts w:hint="eastAsia" w:asciiTheme="minorEastAsia" w:hAnsiTheme="minorEastAsia" w:eastAsiaTheme="minorEastAsia"/>
        </w:rPr>
        <w:t>（１０）暴力団員であることを知りながら当該暴力団員を雇用し、又は使用している者でないこと。</w:t>
      </w:r>
    </w:p>
    <w:p>
      <w:pPr>
        <w:pStyle w:val="0"/>
        <w:ind w:left="210" w:hanging="210" w:hangingChars="100"/>
        <w:rPr>
          <w:rFonts w:hint="default" w:asciiTheme="minorEastAsia" w:hAnsiTheme="minorEastAsia" w:eastAsiaTheme="minorEastAsia"/>
        </w:rPr>
      </w:pPr>
      <w:r>
        <w:rPr>
          <w:rFonts w:hint="eastAsia" w:asciiTheme="minorEastAsia" w:hAnsiTheme="minorEastAsia" w:eastAsiaTheme="minorEastAsia"/>
        </w:rPr>
        <w:t>（１１）契約の相手方が暴力団員であることを知りながら当該暴力団員と商取引に係る契約を締結している者でないこと。</w:t>
      </w:r>
    </w:p>
    <w:p>
      <w:pPr>
        <w:pStyle w:val="0"/>
        <w:ind w:left="210" w:hanging="210" w:hangingChars="100"/>
        <w:rPr>
          <w:rFonts w:hint="default" w:asciiTheme="minorEastAsia" w:hAnsiTheme="minorEastAsia" w:eastAsiaTheme="minorEastAsia"/>
        </w:rPr>
      </w:pPr>
      <w:r>
        <w:rPr>
          <w:rFonts w:hint="eastAsia" w:asciiTheme="minorEastAsia" w:hAnsiTheme="minorEastAsia" w:eastAsiaTheme="minorEastAsia"/>
        </w:rPr>
        <w:t>（１２）暴力団（法第２条第２号に規定する暴力団をいう。以下同じ。）又は暴力団員に対して経済上の利益又は便宜を供与している者でないこと。</w:t>
      </w:r>
    </w:p>
    <w:p>
      <w:pPr>
        <w:pStyle w:val="0"/>
        <w:rPr>
          <w:rFonts w:hint="default" w:asciiTheme="minorEastAsia" w:hAnsiTheme="minorEastAsia" w:eastAsiaTheme="minorEastAsia"/>
          <w:b w:val="1"/>
          <w:sz w:val="22"/>
        </w:rPr>
      </w:pPr>
      <w:r>
        <w:rPr>
          <w:rFonts w:hint="eastAsia" w:asciiTheme="minorEastAsia" w:hAnsiTheme="minorEastAsia" w:eastAsiaTheme="minorEastAsia"/>
        </w:rPr>
        <w:t>（１３）暴力団又は暴力団員と社会的に非難される関係を有している者でないこと。</w:t>
      </w:r>
    </w:p>
    <w:sectPr>
      <w:pgSz w:w="11906" w:h="16838"/>
      <w:pgMar w:top="1134" w:right="1134" w:bottom="851" w:left="1418" w:header="0" w:footer="0" w:gutter="0"/>
      <w:cols w:space="720"/>
      <w:textDirection w:val="lrTb"/>
      <w:docGrid w:type="lines" w:linePitch="345" w:charSpace="61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20"/>
  <w:drawingGridVerticalSpacing w:val="34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2"/>
    </w:rPr>
  </w:style>
  <w:style w:type="paragraph" w:styleId="16">
    <w:name w:val="Closing"/>
    <w:basedOn w:val="0"/>
    <w:next w:val="16"/>
    <w:link w:val="0"/>
    <w:uiPriority w:val="0"/>
    <w:pPr>
      <w:jc w:val="right"/>
    </w:pPr>
    <w:rPr>
      <w:sz w:val="22"/>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0</Words>
  <Characters>917</Characters>
  <Application>JUST Note</Application>
  <Lines>68</Lines>
  <Paragraphs>25</Paragraphs>
  <Company>omuta-city</Company>
  <CharactersWithSpaces>978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誓約書</dc:title>
  <cp:lastModifiedBy>Administrator</cp:lastModifiedBy>
  <cp:lastPrinted>2022-04-14T07:07:22Z</cp:lastPrinted>
  <dcterms:created xsi:type="dcterms:W3CDTF">2018-03-14T23:32:00Z</dcterms:created>
  <dcterms:modified xsi:type="dcterms:W3CDTF">2022-04-14T07:02:24Z</dcterms:modified>
  <cp:revision>10</cp:revision>
</cp:coreProperties>
</file>