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color w:val="FF000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color w:val="FF0000"/>
          <w:sz w:val="22"/>
        </w:rPr>
        <w:t>　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97155</wp:posOffset>
                </wp:positionV>
                <wp:extent cx="5949315" cy="35623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562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80.5pt;mso-wrap-distance-top:0pt;width:468.45pt;mso-wrap-distance-left:9pt;margin-left:10.5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108585</wp:posOffset>
                </wp:positionV>
                <wp:extent cx="5937250" cy="2466975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37250" cy="2466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8.5500000000000007pt;mso-position-vertical-relative:text;mso-position-horizontal-relative:text;position:absolute;height:194.25pt;mso-wrap-distance-top:0pt;width:467.5pt;mso-wrap-distance-left:9pt;margin-left:11.25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大牟田市骨髄等移植ドナー助成金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145415</wp:posOffset>
                </wp:positionH>
                <wp:positionV relativeFrom="page">
                  <wp:posOffset>7630160</wp:posOffset>
                </wp:positionV>
                <wp:extent cx="4679950" cy="205168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7995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600.79pt;mso-position-vertical-relative:page;mso-position-horizontal-relative:text;position:absolute;height:161.55000000000001pt;mso-wrap-distance-top:0pt;width:368.5pt;mso-wrap-distance-left:9pt;margin-left:11.45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3810</wp:posOffset>
                </wp:positionV>
                <wp:extent cx="190500" cy="1809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0.3pt;mso-position-vertical-relative:text;mso-position-horizontal-relative:text;position:absolute;height:14.25pt;mso-wrap-distance-top:0pt;width:15pt;mso-wrap-distance-left:5.65pt;margin-left:66.84pt;z-index:6;" o:spid="_x0000_s1030" o:allowincell="t" o:allowoverlap="t" filled="f" stroked="t" strokecolor="#000000 [3213]" strokeweight="1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left="0" w:leftChars="0"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bdr w:val="none" w:color="auto" w:sz="0" w:space="0"/>
              </w:rPr>
              <w:t>銀行　　　　　　　　　　　　本店・支</w:t>
            </w:r>
            <w:r>
              <w:rPr>
                <w:rFonts w:hint="eastAsia" w:ascii="ＭＳ Ｐ明朝" w:hAnsi="ＭＳ Ｐ明朝" w:eastAsia="ＭＳ Ｐ明朝"/>
                <w:sz w:val="22"/>
              </w:rPr>
              <w:t>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bdr w:val="none" w:color="auto" w:sz="0" w:space="0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215</Characters>
  <Application>JUST Note</Application>
  <Lines>123</Lines>
  <Paragraphs>46</Paragraphs>
  <Company>大牟田</Company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S.Makishima</dc:creator>
  <cp:lastModifiedBy>後藤　水紀子</cp:lastModifiedBy>
  <cp:lastPrinted>2023-10-06T01:53:00Z</cp:lastPrinted>
  <dcterms:created xsi:type="dcterms:W3CDTF">2021-03-30T01:39:00Z</dcterms:created>
  <dcterms:modified xsi:type="dcterms:W3CDTF">2024-07-23T08:15:03Z</dcterms:modified>
  <cp:revision>18</cp:revision>
</cp:coreProperties>
</file>