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sz w:val="21"/>
        </w:rPr>
      </w:pPr>
      <w:bookmarkStart w:id="0" w:name="_GoBack"/>
      <w:bookmarkEnd w:id="0"/>
      <w:r>
        <w:rPr>
          <w:rFonts w:hint="eastAsia"/>
          <w:sz w:val="21"/>
        </w:rPr>
        <w:t>様式第２号（第５条関係）</w:t>
      </w:r>
    </w:p>
    <w:p>
      <w:pPr>
        <w:pStyle w:val="0"/>
        <w:spacing w:line="300" w:lineRule="exact"/>
        <w:jc w:val="center"/>
        <w:rPr>
          <w:rFonts w:hint="default"/>
          <w:sz w:val="21"/>
        </w:rPr>
      </w:pPr>
      <w:r>
        <w:rPr>
          <w:rFonts w:hint="eastAsia"/>
          <w:sz w:val="21"/>
        </w:rPr>
        <w:t>　　　　　　　　　　　　　　　　　　　　　　　　　　　　　年　　月　　日　</w:t>
      </w:r>
    </w:p>
    <w:p>
      <w:pPr>
        <w:pStyle w:val="0"/>
        <w:ind w:firstLine="252"/>
        <w:rPr>
          <w:rFonts w:hint="eastAsia"/>
          <w:sz w:val="21"/>
        </w:rPr>
      </w:pPr>
      <w:r>
        <w:rPr>
          <w:rFonts w:hint="eastAsia"/>
          <w:sz w:val="21"/>
        </w:rPr>
        <w:t>大牟田市長　様</w:t>
      </w:r>
    </w:p>
    <w:p>
      <w:pPr>
        <w:pStyle w:val="0"/>
        <w:ind w:firstLine="4167" w:firstLineChars="1700"/>
        <w:rPr>
          <w:rFonts w:hint="eastAsia"/>
          <w:sz w:val="21"/>
        </w:rPr>
      </w:pPr>
      <w:r>
        <w:rPr>
          <w:rFonts w:hint="eastAsia"/>
          <w:sz w:val="21"/>
        </w:rPr>
        <w:t>住　　所</w:t>
      </w:r>
    </w:p>
    <w:p>
      <w:pPr>
        <w:pStyle w:val="0"/>
        <w:ind w:firstLine="3677" w:firstLineChars="1500"/>
        <w:rPr>
          <w:rFonts w:hint="eastAsia"/>
          <w:sz w:val="21"/>
        </w:rPr>
      </w:pPr>
      <w:r>
        <w:rPr>
          <w:rFonts w:hint="eastAsia"/>
          <w:sz w:val="21"/>
        </w:rPr>
        <w:t>　　</w:t>
      </w:r>
    </w:p>
    <w:p>
      <w:pPr>
        <w:pStyle w:val="0"/>
        <w:ind w:firstLine="4115" w:firstLineChars="1750"/>
        <w:rPr>
          <w:rFonts w:hint="eastAsia"/>
          <w:sz w:val="20"/>
        </w:rPr>
      </w:pPr>
      <w:r>
        <w:rPr>
          <w:rFonts w:hint="eastAsia"/>
          <w:sz w:val="20"/>
        </w:rPr>
        <w:t>(</w:t>
      </w:r>
      <w:r>
        <w:rPr>
          <w:rFonts w:hint="eastAsia"/>
          <w:sz w:val="20"/>
        </w:rPr>
        <w:t>ふりがな</w:t>
      </w:r>
      <w:r>
        <w:rPr>
          <w:rFonts w:hint="eastAsia"/>
          <w:sz w:val="20"/>
        </w:rPr>
        <w:t>)</w:t>
      </w:r>
    </w:p>
    <w:p>
      <w:pPr>
        <w:pStyle w:val="0"/>
        <w:ind w:firstLine="4167" w:firstLineChars="1700"/>
        <w:rPr>
          <w:rFonts w:hint="eastAsia"/>
          <w:sz w:val="21"/>
        </w:rPr>
      </w:pPr>
      <w:r>
        <w:rPr>
          <w:rFonts w:hint="eastAsia"/>
          <w:sz w:val="21"/>
        </w:rPr>
        <w:t>氏　　名　　　　　　　　　　　　　　　</w:t>
      </w:r>
    </w:p>
    <w:p>
      <w:pPr>
        <w:pStyle w:val="0"/>
        <w:ind w:firstLine="4167" w:firstLineChars="1700"/>
        <w:rPr>
          <w:rFonts w:hint="eastAsia"/>
          <w:sz w:val="21"/>
        </w:rPr>
      </w:pPr>
      <w:r>
        <w:rPr>
          <w:rFonts w:hint="eastAsia"/>
          <w:sz w:val="21"/>
        </w:rPr>
        <w:t>生年月日　　　　　　　年　　　月　　　日</w:t>
      </w:r>
    </w:p>
    <w:p>
      <w:pPr>
        <w:pStyle w:val="0"/>
        <w:ind w:firstLine="4167" w:firstLineChars="1700"/>
        <w:rPr>
          <w:rFonts w:hint="eastAsia"/>
          <w:sz w:val="21"/>
        </w:rPr>
      </w:pPr>
      <w:r>
        <w:rPr>
          <w:rFonts w:hint="eastAsia"/>
          <w:sz w:val="21"/>
        </w:rPr>
        <w:t>性　　別　　　　　　　男　・　女</w:t>
      </w:r>
    </w:p>
    <w:p>
      <w:pPr>
        <w:pStyle w:val="0"/>
        <w:jc w:val="center"/>
        <w:rPr>
          <w:rFonts w:hint="eastAsia"/>
          <w:sz w:val="21"/>
        </w:rPr>
      </w:pPr>
    </w:p>
    <w:p>
      <w:pPr>
        <w:pStyle w:val="0"/>
        <w:jc w:val="center"/>
        <w:rPr>
          <w:rFonts w:hint="eastAsia"/>
        </w:rPr>
      </w:pPr>
      <w:r>
        <w:rPr>
          <w:rFonts w:hint="eastAsia"/>
        </w:rPr>
        <w:t>誓約書兼照会承諾書</w:t>
      </w:r>
    </w:p>
    <w:p>
      <w:pPr>
        <w:pStyle w:val="0"/>
        <w:ind w:firstLine="798"/>
        <w:rPr>
          <w:rFonts w:hint="eastAsia"/>
          <w:sz w:val="21"/>
        </w:rPr>
      </w:pPr>
    </w:p>
    <w:p>
      <w:pPr>
        <w:pStyle w:val="0"/>
        <w:rPr>
          <w:rFonts w:hint="eastAsia"/>
          <w:sz w:val="21"/>
        </w:rPr>
      </w:pPr>
      <w:r>
        <w:rPr>
          <w:rFonts w:hint="eastAsia"/>
          <w:sz w:val="21"/>
        </w:rPr>
        <w:t>　私は、大牟田市が大牟田市暴力団排除条例に基づき、公共工事その他の市の事務又は事業により暴力団を利することがないように、暴力団員はもとより、暴力団若しくは暴力団員と密接な関係を有する者を大牟田市ＵＩＪターン若者就職奨励金交付要綱（以下「要綱」という。）による大牟田市ＵＩＪターン若者就職奨励金（以下「奨励金」という。）の交付の対象から排除していることを認識した上で、裏面の記載事項について説明を受け、これを了解し、下記事項について誓約いたします。</w:t>
      </w:r>
    </w:p>
    <w:p>
      <w:pPr>
        <w:pStyle w:val="0"/>
        <w:rPr>
          <w:rFonts w:hint="eastAsia"/>
          <w:sz w:val="21"/>
        </w:rPr>
      </w:pPr>
      <w:r>
        <w:rPr>
          <w:rFonts w:hint="eastAsia"/>
          <w:sz w:val="21"/>
        </w:rPr>
        <w:t>　なお、これらの事項に反する場合、奨励金の交付決定の取消し等、貴市が行う一切の措置について異議の申立てを行いません。</w:t>
      </w:r>
    </w:p>
    <w:p>
      <w:pPr>
        <w:pStyle w:val="0"/>
        <w:rPr>
          <w:rFonts w:hint="eastAsia"/>
        </w:rPr>
      </w:pPr>
    </w:p>
    <w:p>
      <w:pPr>
        <w:pStyle w:val="0"/>
        <w:snapToGrid w:val="0"/>
        <w:spacing w:line="280" w:lineRule="exact"/>
        <w:rPr>
          <w:rFonts w:hint="default"/>
          <w:sz w:val="10"/>
        </w:rPr>
      </w:pPr>
    </w:p>
    <w:p>
      <w:pPr>
        <w:pStyle w:val="15"/>
        <w:snapToGrid w:val="0"/>
        <w:rPr>
          <w:rFonts w:hint="default"/>
          <w:sz w:val="21"/>
        </w:rPr>
      </w:pPr>
      <w:r>
        <w:rPr>
          <w:rFonts w:hint="eastAsia"/>
          <w:sz w:val="21"/>
        </w:rPr>
        <w:t>記</w:t>
      </w:r>
    </w:p>
    <w:p>
      <w:pPr>
        <w:pStyle w:val="0"/>
        <w:snapToGrid w:val="0"/>
        <w:rPr>
          <w:rFonts w:hint="default"/>
          <w:sz w:val="10"/>
        </w:rPr>
      </w:pPr>
    </w:p>
    <w:p>
      <w:pPr>
        <w:pStyle w:val="0"/>
        <w:rPr>
          <w:rFonts w:hint="eastAsia"/>
        </w:rPr>
      </w:pPr>
    </w:p>
    <w:p>
      <w:pPr>
        <w:pStyle w:val="0"/>
        <w:snapToGrid w:val="0"/>
        <w:ind w:left="226" w:leftChars="1" w:hanging="223" w:hangingChars="99"/>
        <w:rPr>
          <w:rFonts w:hint="eastAsia"/>
          <w:spacing w:val="-10"/>
          <w:sz w:val="21"/>
        </w:rPr>
      </w:pPr>
      <w:r>
        <w:rPr>
          <w:rFonts w:hint="eastAsia"/>
          <w:spacing w:val="-10"/>
          <w:sz w:val="21"/>
        </w:rPr>
        <w:t>１　</w:t>
      </w:r>
      <w:r>
        <w:rPr>
          <w:rFonts w:hint="eastAsia"/>
          <w:sz w:val="21"/>
        </w:rPr>
        <w:t>要綱第３条第２項第３号の規定には</w:t>
      </w:r>
      <w:r>
        <w:rPr>
          <w:rFonts w:hint="eastAsia"/>
          <w:spacing w:val="-10"/>
          <w:sz w:val="21"/>
        </w:rPr>
        <w:t>該当しません。</w:t>
      </w:r>
    </w:p>
    <w:p>
      <w:pPr>
        <w:pStyle w:val="0"/>
        <w:ind w:left="255" w:hanging="255" w:hangingChars="100"/>
        <w:rPr>
          <w:rFonts w:hint="eastAsia"/>
          <w:spacing w:val="-10"/>
        </w:rPr>
      </w:pPr>
    </w:p>
    <w:p>
      <w:pPr>
        <w:pStyle w:val="0"/>
        <w:ind w:left="255" w:hanging="255" w:hangingChars="100"/>
        <w:rPr>
          <w:rFonts w:hint="eastAsia"/>
          <w:spacing w:val="-10"/>
        </w:rPr>
      </w:pPr>
      <w:r>
        <w:rPr>
          <w:rFonts w:hint="eastAsia"/>
          <w:spacing w:val="-10"/>
        </w:rPr>
        <w:t>２　</w:t>
      </w:r>
      <w:r>
        <w:rPr>
          <w:rFonts w:hint="eastAsia"/>
          <w:sz w:val="21"/>
        </w:rPr>
        <w:t>要綱第３条第２項第３号の規定に該当するかの有無を福岡県大牟田警察署に照会することを承諾します。なお、</w:t>
      </w:r>
      <w:r>
        <w:rPr>
          <w:rFonts w:hint="eastAsia"/>
          <w:spacing w:val="-10"/>
          <w:sz w:val="21"/>
        </w:rPr>
        <w:t>要綱第５</w:t>
      </w:r>
      <w:r>
        <w:rPr>
          <w:rFonts w:hint="eastAsia"/>
          <w:sz w:val="21"/>
        </w:rPr>
        <w:t>条第２項の規定により奨励金の交付対象者として登録された場合は、その登録された期間内についても、照会することを承諾します。</w:t>
      </w:r>
    </w:p>
    <w:p>
      <w:pPr>
        <w:pStyle w:val="0"/>
        <w:rPr>
          <w:rFonts w:hint="eastAsia"/>
          <w:spacing w:val="-10"/>
        </w:rPr>
      </w:pPr>
    </w:p>
    <w:p>
      <w:pPr>
        <w:pStyle w:val="0"/>
        <w:rPr>
          <w:rFonts w:hint="eastAsia"/>
          <w:spacing w:val="-10"/>
        </w:rPr>
      </w:pPr>
    </w:p>
    <w:p>
      <w:pPr>
        <w:pStyle w:val="0"/>
        <w:rPr>
          <w:rFonts w:hint="eastAsia"/>
          <w:spacing w:val="-10"/>
        </w:rPr>
      </w:pPr>
    </w:p>
    <w:p>
      <w:pPr>
        <w:pStyle w:val="0"/>
        <w:rPr>
          <w:rFonts w:hint="eastAsia"/>
          <w:sz w:val="21"/>
        </w:rPr>
      </w:pPr>
      <w:r>
        <w:rPr>
          <w:rFonts w:hint="eastAsia"/>
          <w:sz w:val="21"/>
        </w:rPr>
        <w:t>大牟田市ＵＩＪターン若者就職奨励金交付要綱（抜粋）</w:t>
      </w:r>
    </w:p>
    <w:p>
      <w:pPr>
        <w:pStyle w:val="0"/>
        <w:ind w:left="238"/>
        <w:rPr>
          <w:rFonts w:hint="eastAsia"/>
          <w:sz w:val="21"/>
        </w:rPr>
      </w:pPr>
      <w:r>
        <w:rPr>
          <w:rFonts w:hint="eastAsia"/>
          <w:sz w:val="21"/>
        </w:rPr>
        <w:t>（奨励金の交付）</w:t>
      </w:r>
    </w:p>
    <w:p>
      <w:pPr>
        <w:pStyle w:val="0"/>
        <w:ind w:left="238" w:hanging="238"/>
        <w:rPr>
          <w:rFonts w:hint="eastAsia"/>
          <w:sz w:val="21"/>
        </w:rPr>
      </w:pPr>
      <w:r>
        <w:rPr>
          <w:rFonts w:hint="eastAsia"/>
          <w:sz w:val="21"/>
        </w:rPr>
        <w:t>第３条</w:t>
      </w:r>
      <w:r>
        <w:rPr>
          <w:rFonts w:hint="eastAsia"/>
          <w:sz w:val="21"/>
        </w:rPr>
        <w:t xml:space="preserve">  </w:t>
      </w:r>
      <w:r>
        <w:rPr>
          <w:rFonts w:hint="eastAsia"/>
          <w:sz w:val="21"/>
        </w:rPr>
        <w:t>（省略）</w:t>
      </w:r>
    </w:p>
    <w:p>
      <w:pPr>
        <w:pStyle w:val="0"/>
        <w:ind w:left="238" w:hanging="238"/>
        <w:rPr>
          <w:rFonts w:hint="eastAsia"/>
          <w:kern w:val="0"/>
          <w:sz w:val="21"/>
        </w:rPr>
      </w:pPr>
      <w:r>
        <w:rPr>
          <w:rFonts w:hint="eastAsia"/>
          <w:sz w:val="21"/>
        </w:rPr>
        <w:t>２　前項の規定にかかわらず、</w:t>
      </w:r>
      <w:r>
        <w:rPr>
          <w:rFonts w:hint="default" w:ascii="ＭＳ 明朝" w:hAnsi="ＭＳ 明朝"/>
          <w:kern w:val="0"/>
          <w:sz w:val="21"/>
        </w:rPr>
        <w:t>ＵＩＪターン若者</w:t>
      </w:r>
      <w:r>
        <w:rPr>
          <w:rFonts w:hint="eastAsia"/>
          <w:kern w:val="0"/>
          <w:sz w:val="21"/>
        </w:rPr>
        <w:t>が次の各号に掲げる者のいずれかに該当するときは、奨励金を交付しないものとする。</w:t>
      </w:r>
    </w:p>
    <w:p>
      <w:pPr>
        <w:pStyle w:val="22"/>
        <w:widowControl w:val="1"/>
        <w:ind w:left="506" w:leftChars="50" w:hanging="368" w:hangingChars="150"/>
        <w:jc w:val="left"/>
        <w:rPr>
          <w:rFonts w:hint="eastAsia"/>
          <w:kern w:val="0"/>
        </w:rPr>
      </w:pPr>
      <w:r>
        <w:rPr>
          <w:rFonts w:hint="eastAsia" w:ascii="ＭＳ 明朝" w:hAnsi="ＭＳ 明朝"/>
        </w:rPr>
        <w:t>(1)</w:t>
      </w:r>
      <w:r>
        <w:rPr>
          <w:rFonts w:hint="eastAsia" w:ascii="ＭＳ 明朝" w:hAnsi="ＭＳ 明朝"/>
        </w:rPr>
        <w:t>・</w:t>
      </w:r>
      <w:r>
        <w:rPr>
          <w:rFonts w:hint="eastAsia" w:ascii="ＭＳ 明朝" w:hAnsi="ＭＳ 明朝"/>
        </w:rPr>
        <w:t xml:space="preserve">(2)  </w:t>
      </w:r>
      <w:r>
        <w:rPr>
          <w:rFonts w:hint="eastAsia" w:ascii="ＭＳ 明朝" w:hAnsi="ＭＳ 明朝"/>
        </w:rPr>
        <w:t>（省略）</w:t>
      </w:r>
    </w:p>
    <w:p>
      <w:pPr>
        <w:pStyle w:val="22"/>
        <w:widowControl w:val="1"/>
        <w:ind w:left="506" w:leftChars="50" w:hanging="368" w:hangingChars="150"/>
        <w:jc w:val="left"/>
        <w:rPr>
          <w:rFonts w:hint="eastAsia" w:ascii="ＭＳ 明朝" w:hAnsi="ＭＳ 明朝"/>
        </w:rPr>
      </w:pPr>
      <w:r>
        <w:rPr>
          <w:rFonts w:hint="eastAsia" w:ascii="ＭＳ 明朝" w:hAnsi="ＭＳ 明朝"/>
        </w:rPr>
        <w:t xml:space="preserve">(3)  </w:t>
      </w:r>
      <w:r>
        <w:rPr>
          <w:rFonts w:hint="eastAsia"/>
        </w:rPr>
        <w:t>暴力団員（暴力団員による不当な行為の防止等に関する法律（平成３年法律第７７号）第２条第６号に規定する暴力団員をいう。以下同じ。）又は暴力団（同条第２号に規定する暴力団をいう。）若しくは</w:t>
      </w:r>
      <w:r>
        <w:rPr>
          <w:rFonts w:hint="eastAsia"/>
          <w:color w:val="000000"/>
          <w:kern w:val="0"/>
        </w:rPr>
        <w:t>暴力団員と密接な関係を有する者</w:t>
      </w:r>
    </w:p>
    <w:p>
      <w:pPr>
        <w:pStyle w:val="22"/>
        <w:widowControl w:val="1"/>
        <w:ind w:left="506" w:leftChars="50" w:hanging="368" w:hangingChars="150"/>
        <w:jc w:val="left"/>
        <w:rPr>
          <w:rFonts w:hint="eastAsia"/>
          <w:kern w:val="0"/>
        </w:rPr>
      </w:pPr>
      <w:r>
        <w:rPr>
          <w:rFonts w:hint="eastAsia" w:ascii="ＭＳ 明朝" w:hAnsi="ＭＳ 明朝"/>
        </w:rPr>
        <w:t>(4)</w:t>
      </w:r>
      <w:r>
        <w:rPr>
          <w:rFonts w:hint="eastAsia" w:ascii="ＭＳ 明朝" w:hAnsi="ＭＳ 明朝"/>
        </w:rPr>
        <w:t>・</w:t>
      </w:r>
      <w:r>
        <w:rPr>
          <w:rFonts w:hint="eastAsia" w:ascii="ＭＳ 明朝" w:hAnsi="ＭＳ 明朝"/>
        </w:rPr>
        <w:t xml:space="preserve">(5)  </w:t>
      </w:r>
      <w:r>
        <w:rPr>
          <w:rFonts w:hint="eastAsia" w:ascii="ＭＳ 明朝" w:hAnsi="ＭＳ 明朝"/>
        </w:rPr>
        <w:t>（省略）</w:t>
      </w:r>
    </w:p>
    <w:p>
      <w:pPr>
        <w:pStyle w:val="0"/>
        <w:ind w:left="238" w:hanging="238"/>
        <w:rPr>
          <w:rFonts w:hint="eastAsia"/>
          <w:kern w:val="0"/>
          <w:sz w:val="21"/>
        </w:rPr>
      </w:pPr>
      <w:r>
        <w:rPr>
          <w:rFonts w:hint="eastAsia"/>
          <w:kern w:val="0"/>
          <w:sz w:val="21"/>
        </w:rPr>
        <w:t>　（登録の取消し）</w:t>
      </w:r>
    </w:p>
    <w:p>
      <w:pPr>
        <w:pStyle w:val="0"/>
        <w:ind w:left="238" w:hanging="238"/>
        <w:rPr>
          <w:rFonts w:hint="eastAsia"/>
          <w:sz w:val="21"/>
        </w:rPr>
      </w:pPr>
      <w:r>
        <w:rPr>
          <w:rFonts w:hint="eastAsia"/>
          <w:sz w:val="21"/>
        </w:rPr>
        <w:t>第７条　市長は、登録ＵＩＪターン若者が第３条第１項各号に掲げる要件を満たさないこととなったとき、又は同条第２項第３号若しくは第５号のいずれかに該当すると認めるときは、交付対象者としての登録を取り消すことができる。</w:t>
      </w:r>
    </w:p>
    <w:p>
      <w:pPr>
        <w:pStyle w:val="0"/>
        <w:ind w:left="238" w:hanging="238"/>
        <w:rPr>
          <w:rFonts w:hint="eastAsia"/>
          <w:sz w:val="21"/>
        </w:rPr>
      </w:pPr>
      <w:r>
        <w:rPr>
          <w:rFonts w:hint="eastAsia"/>
          <w:sz w:val="21"/>
        </w:rPr>
        <w:t xml:space="preserve">  </w:t>
      </w:r>
      <w:r>
        <w:rPr>
          <w:rFonts w:hint="eastAsia"/>
          <w:sz w:val="21"/>
        </w:rPr>
        <w:t>（交付決定の取消し等）</w:t>
      </w:r>
    </w:p>
    <w:p>
      <w:pPr>
        <w:pStyle w:val="0"/>
        <w:ind w:left="238" w:hanging="238"/>
        <w:rPr>
          <w:rFonts w:hint="eastAsia"/>
          <w:sz w:val="21"/>
        </w:rPr>
      </w:pPr>
      <w:r>
        <w:rPr>
          <w:rFonts w:hint="eastAsia"/>
          <w:sz w:val="21"/>
        </w:rPr>
        <w:t>第９条</w:t>
      </w:r>
      <w:r>
        <w:rPr>
          <w:rFonts w:hint="eastAsia"/>
          <w:sz w:val="21"/>
        </w:rPr>
        <w:t xml:space="preserve">  </w:t>
      </w:r>
      <w:r>
        <w:rPr>
          <w:rFonts w:hint="eastAsia"/>
          <w:sz w:val="21"/>
        </w:rPr>
        <w:t>市長は、前条第２項の規定により奨励金の交付決定を受けた者が次の各号のいずれかに該当するときは、奨励金の交付決定の全部若しくは一部を取り消し、奨励金の交付を停止し、又は奨励金の全部若しくは一部の返還を命じることができる。</w:t>
      </w:r>
    </w:p>
    <w:p>
      <w:pPr>
        <w:pStyle w:val="0"/>
        <w:ind w:left="238" w:hanging="238"/>
        <w:rPr>
          <w:rFonts w:hint="eastAsia"/>
          <w:sz w:val="21"/>
        </w:rPr>
      </w:pPr>
      <w:r>
        <w:rPr>
          <w:rFonts w:hint="eastAsia"/>
          <w:sz w:val="21"/>
        </w:rPr>
        <w:t xml:space="preserve"> (1)</w:t>
      </w:r>
      <w:r>
        <w:rPr>
          <w:rFonts w:hint="eastAsia"/>
          <w:sz w:val="21"/>
        </w:rPr>
        <w:t>・</w:t>
      </w:r>
      <w:r>
        <w:rPr>
          <w:rFonts w:hint="eastAsia"/>
          <w:sz w:val="21"/>
        </w:rPr>
        <w:t xml:space="preserve">(2)  </w:t>
      </w:r>
      <w:r>
        <w:rPr>
          <w:rFonts w:hint="eastAsia"/>
          <w:sz w:val="21"/>
        </w:rPr>
        <w:t>（省略）</w:t>
      </w:r>
    </w:p>
    <w:p>
      <w:pPr>
        <w:pStyle w:val="0"/>
        <w:ind w:firstLine="123" w:firstLineChars="50"/>
        <w:rPr>
          <w:rFonts w:hint="eastAsia"/>
          <w:sz w:val="21"/>
        </w:rPr>
      </w:pPr>
      <w:r>
        <w:rPr>
          <w:rFonts w:hint="eastAsia"/>
          <w:sz w:val="21"/>
        </w:rPr>
        <w:t>(3)</w:t>
      </w:r>
      <w:r>
        <w:rPr>
          <w:rFonts w:hint="eastAsia"/>
          <w:sz w:val="21"/>
        </w:rPr>
        <w:t>　交付決定後に、第３条第２項第３号又は第５号に掲げる者に該当したとき。</w:t>
      </w:r>
    </w:p>
    <w:p>
      <w:pPr>
        <w:pStyle w:val="0"/>
        <w:ind w:firstLine="123" w:firstLineChars="50"/>
        <w:rPr>
          <w:rFonts w:hint="eastAsia"/>
          <w:sz w:val="21"/>
        </w:rPr>
      </w:pPr>
      <w:r>
        <w:rPr>
          <w:rFonts w:hint="eastAsia"/>
          <w:sz w:val="21"/>
        </w:rPr>
        <w:t>(4)</w:t>
      </w:r>
      <w:r>
        <w:rPr>
          <w:rFonts w:hint="eastAsia"/>
          <w:sz w:val="21"/>
        </w:rPr>
        <w:t>　</w:t>
      </w:r>
      <w:r>
        <w:rPr>
          <w:rFonts w:hint="eastAsia"/>
          <w:sz w:val="21"/>
        </w:rPr>
        <w:t xml:space="preserve"> </w:t>
      </w:r>
      <w:r>
        <w:rPr>
          <w:rFonts w:hint="eastAsia"/>
          <w:sz w:val="21"/>
        </w:rPr>
        <w:t>（省略）</w:t>
      </w:r>
    </w:p>
    <w:sectPr>
      <w:pgSz w:w="11906" w:h="16838"/>
      <w:pgMar w:top="1418" w:right="1247" w:bottom="1418" w:left="1304" w:header="851" w:footer="992" w:gutter="0"/>
      <w:cols w:space="720"/>
      <w:textDirection w:val="lrTb"/>
      <w:docGrid w:type="linesAndChars" w:linePitch="437" w:charSpace="719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275"/>
  <w:drawingGridVerticalSpacing w:val="437"/>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21"/>
    <w:uiPriority w:val="0"/>
    <w:pPr>
      <w:jc w:val="center"/>
    </w:pPr>
  </w:style>
  <w:style w:type="paragraph" w:styleId="16">
    <w:name w:val="Closing"/>
    <w:basedOn w:val="0"/>
    <w:next w:val="0"/>
    <w:link w:val="23"/>
    <w:uiPriority w:val="0"/>
    <w:pPr>
      <w:jc w:val="right"/>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rFonts w:ascii="ＭＳ 明朝" w:hAnsi="ＭＳ 明朝"/>
      <w:kern w:val="2"/>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rFonts w:ascii="ＭＳ 明朝" w:hAnsi="ＭＳ 明朝"/>
      <w:kern w:val="2"/>
      <w:sz w:val="24"/>
    </w:rPr>
  </w:style>
  <w:style w:type="character" w:styleId="21" w:customStyle="1">
    <w:name w:val="記 (文字)"/>
    <w:next w:val="21"/>
    <w:link w:val="15"/>
    <w:uiPriority w:val="0"/>
    <w:rPr>
      <w:rFonts w:ascii="ＭＳ 明朝" w:hAnsi="ＭＳ 明朝"/>
      <w:kern w:val="2"/>
      <w:sz w:val="24"/>
    </w:rPr>
  </w:style>
  <w:style w:type="paragraph" w:styleId="22">
    <w:name w:val="List Paragraph"/>
    <w:basedOn w:val="0"/>
    <w:next w:val="22"/>
    <w:link w:val="0"/>
    <w:uiPriority w:val="0"/>
    <w:qFormat/>
    <w:pPr>
      <w:ind w:left="840" w:leftChars="400"/>
    </w:pPr>
    <w:rPr>
      <w:rFonts w:ascii="Century" w:hAnsi="Century"/>
      <w:sz w:val="21"/>
    </w:rPr>
  </w:style>
  <w:style w:type="character" w:styleId="23" w:customStyle="1">
    <w:name w:val="結語 (文字)"/>
    <w:next w:val="23"/>
    <w:link w:val="16"/>
    <w:uiPriority w:val="0"/>
    <w:rPr>
      <w:rFonts w:ascii="ＭＳ 明朝" w:hAnsi="ＭＳ 明朝"/>
      <w:kern w:val="2"/>
      <w:sz w:val="24"/>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76</TotalTime>
  <Pages>2</Pages>
  <Words>9</Words>
  <Characters>994</Characters>
  <Application>JUST Note</Application>
  <Lines>55</Lines>
  <Paragraphs>29</Paragraphs>
  <CharactersWithSpaces>1099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様式第2号(誓約書兼照会承諾書)</dc:title>
  <dc:creator>大牟田市</dc:creator>
  <cp:lastModifiedBy>Administrator</cp:lastModifiedBy>
  <cp:lastPrinted>2021-03-22T09:37:00Z</cp:lastPrinted>
  <dcterms:created xsi:type="dcterms:W3CDTF">2016-05-31T10:33:00Z</dcterms:created>
  <dcterms:modified xsi:type="dcterms:W3CDTF">2026-04-09T02:25:12Z</dcterms:modified>
  <cp:revision>14</cp:revision>
</cp:coreProperties>
</file>